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Aptos Display" w:hAnsi="Aptos Display"/>
          <w:b/>
          <w:color w:val="B58B3B"/>
          <w:sz w:val="22"/>
        </w:rPr>
        <w:t>3gence</w:t>
      </w:r>
    </w:p>
    <w:p>
      <w:pPr>
        <w:pStyle w:val="Title"/>
        <w:jc w:val="left"/>
      </w:pPr>
      <w:r>
        <w:t>Founding Participation Brief</w:t>
      </w:r>
    </w:p>
    <w:p>
      <w:pPr>
        <w:spacing w:after="160"/>
      </w:pPr>
      <w:r>
        <w:rPr>
          <w:rFonts w:ascii="Aptos" w:hAnsi="Aptos"/>
          <w:b w:val="0"/>
          <w:color w:val="536270"/>
          <w:sz w:val="21"/>
        </w:rPr>
        <w:t>Technology-enabled transformation • AI • business modernization • economic development</w:t>
      </w:r>
    </w:p>
    <w:tbl>
      <w:tblPr>
        <w:tblW w:type="auto" w:w="0"/>
        <w:jc w:val="center"/>
        <w:tblLook w:firstColumn="1" w:firstRow="1" w:lastColumn="0" w:lastRow="0" w:noHBand="0" w:noVBand="1" w:val="04A0"/>
      </w:tblPr>
      <w:tblGrid>
        <w:gridCol w:w="10454"/>
      </w:tblGrid>
      <w:tr>
        <w:trPr>
          <w:cantSplit/>
        </w:trPr>
        <w:tc>
          <w:tcPr>
            <w:tcW w:type="dxa" w:w="10454"/>
            <w:shd w:fill="EEF3F6"/>
            <w:tcMar>
              <w:top w:w="100" w:type="dxa"/>
              <w:start w:w="150" w:type="dxa"/>
              <w:bottom w:w="100" w:type="dxa"/>
              <w:end w:w="150" w:type="dxa"/>
            </w:tcMar>
          </w:tcPr>
          <w:p>
            <w:pPr>
              <w:spacing w:after="0"/>
            </w:pPr>
            <w:r>
              <w:rPr>
                <w:rFonts w:ascii="Aptos" w:hAnsi="Aptos"/>
                <w:b/>
                <w:color w:val="18324A"/>
                <w:sz w:val="19"/>
              </w:rPr>
              <w:t>3gence is being built as a multidisciplinary transformation firm for organizations and communities facing problems that cross the boundaries of technology, operations, data, infrastructure, workforce, and strategy. The firm is designed to move from diagnosis to implementation—and to give talented professionals the leverage to pursue larger, more consequential work together than they could reliably assemble alone.</w:t>
            </w:r>
          </w:p>
        </w:tc>
      </w:tr>
    </w:tbl>
    <w:p>
      <w:pPr>
        <w:pStyle w:val="Heading1"/>
      </w:pPr>
      <w:r>
        <w:rPr>
          <w:rFonts w:ascii="Aptos" w:hAnsi="Aptos"/>
          <w:i w:val="0"/>
        </w:rPr>
        <w:t>What we are building</w:t>
      </w:r>
    </w:p>
    <w:p>
      <w:r>
        <w:rPr>
          <w:rFonts w:ascii="Aptos" w:hAnsi="Aptos"/>
          <w:i w:val="0"/>
        </w:rPr>
        <w:t>3gence will work with businesses, distressed and underperforming organizations, municipalities, public administrations, economic-development organizations, and other institutions that need to modernize, improve performance, adopt emerging technology, or build new capability.</w:t>
      </w:r>
    </w:p>
    <w:p>
      <w:r>
        <w:rPr>
          <w:rFonts w:ascii="Aptos" w:hAnsi="Aptos"/>
          <w:i w:val="0"/>
        </w:rPr>
        <w:t>Artificial intelligence is central to the opportunity, but 3gence is not being built as a narrow AI consultancy. The company begins with the underlying organizational or economic problem. Depending on that problem, the response may involve AI, data engineering, custom software, automation, cloud infrastructure, connected systems and IoT, operational redesign, workforce development, economic analysis, or a multidisciplinary combination of those capabilities.</w:t>
      </w:r>
    </w:p>
    <w:p>
      <w:pPr>
        <w:pStyle w:val="Heading1"/>
      </w:pPr>
      <w:r>
        <w:rPr>
          <w:rFonts w:ascii="Aptos" w:hAnsi="Aptos"/>
          <w:i w:val="0"/>
        </w:rPr>
        <w:t>Why now</w:t>
      </w:r>
    </w:p>
    <w:p>
      <w:r>
        <w:rPr>
          <w:rFonts w:ascii="Aptos" w:hAnsi="Aptos"/>
          <w:i w:val="0"/>
        </w:rPr>
        <w:t>Organizations are under pressure to modernize faster than their internal structures were designed to allow. AI adoption is exposing fragmented data, undocumented workflows, incompatible systems, weak knowledge management, legacy infrastructure, and unclear accountability. Municipalities face many of the same constraints while also competing for investment, workforce, infrastructure, and economic growth.</w:t>
      </w:r>
    </w:p>
    <w:p>
      <w:r>
        <w:rPr>
          <w:rFonts w:ascii="Aptos" w:hAnsi="Aptos"/>
          <w:i w:val="0"/>
        </w:rPr>
        <w:t>At the same time, AI changes the economics of professional services. A small, senior team can use intelligent systems to accelerate research, prospecting, knowledge management, proposal development, training production, analysis, and internal operations. 3gence is being designed around that reality from the beginning rather than retrofitting it later.</w:t>
      </w:r>
    </w:p>
    <w:p>
      <w:pPr>
        <w:pStyle w:val="Heading1"/>
      </w:pPr>
      <w:r>
        <w:rPr>
          <w:rFonts w:ascii="Aptos" w:hAnsi="Aptos"/>
          <w:i w:val="0"/>
        </w:rPr>
        <w:t>Initial commercial engines</w:t>
      </w:r>
    </w:p>
    <w:tbl>
      <w:tblPr>
        <w:tblW w:type="auto" w:w="0"/>
        <w:jc w:val="center"/>
        <w:tblLayout w:type="fixed"/>
        <w:tblLook w:firstColumn="1" w:firstRow="1" w:lastColumn="0" w:lastRow="0" w:noHBand="0" w:noVBand="1" w:val="04A0"/>
      </w:tblPr>
      <w:tblGrid>
        <w:gridCol w:w="3197"/>
        <w:gridCol w:w="3197"/>
        <w:gridCol w:w="3197"/>
      </w:tblGrid>
      <w:tr>
        <w:trPr>
          <w:cantSplit/>
        </w:trPr>
        <w:tc>
          <w:tcPr>
            <w:tcW w:type="dxa" w:w="3485"/>
            <w:shd w:fill="F7F9FA"/>
            <w:tcMar>
              <w:top w:w="80" w:type="dxa"/>
              <w:start w:w="95" w:type="dxa"/>
              <w:bottom w:w="80" w:type="dxa"/>
              <w:end w:w="95" w:type="dxa"/>
            </w:tcMar>
            <w:vAlign w:val="top"/>
          </w:tcPr>
          <w:p>
            <w:pPr>
              <w:spacing w:after="40"/>
            </w:pPr>
            <w:r>
              <w:rPr>
                <w:rFonts w:ascii="Aptos" w:hAnsi="Aptos"/>
                <w:b/>
                <w:color w:val="2C5D7B"/>
                <w:sz w:val="18"/>
              </w:rPr>
              <w:t>AI / AWS Workforce Development</w:t>
            </w:r>
          </w:p>
          <w:p>
            <w:pPr>
              <w:spacing w:after="0"/>
            </w:pPr>
            <w:r>
              <w:rPr>
                <w:rFonts w:ascii="Aptos" w:hAnsi="Aptos"/>
                <w:color w:val="1F2933"/>
                <w:sz w:val="16"/>
              </w:rPr>
              <w:t>AI Implementation and AWS Cloud Infrastructure &amp; DevOps training, beginning with a March 2027 launch path and expanding toward self-paced, employer, municipal, and workforce-organization licensing.</w:t>
            </w:r>
          </w:p>
        </w:tc>
        <w:tc>
          <w:tcPr>
            <w:tcW w:type="dxa" w:w="3485"/>
            <w:shd w:fill="F7F9FA"/>
            <w:tcMar>
              <w:top w:w="80" w:type="dxa"/>
              <w:start w:w="95" w:type="dxa"/>
              <w:bottom w:w="80" w:type="dxa"/>
              <w:end w:w="95" w:type="dxa"/>
            </w:tcMar>
            <w:vAlign w:val="top"/>
          </w:tcPr>
          <w:p>
            <w:pPr>
              <w:spacing w:after="40"/>
            </w:pPr>
            <w:r>
              <w:rPr>
                <w:rFonts w:ascii="Aptos" w:hAnsi="Aptos"/>
                <w:b/>
                <w:color w:val="2C5D7B"/>
                <w:sz w:val="18"/>
              </w:rPr>
              <w:t>AI Prospect Intelligence System</w:t>
            </w:r>
          </w:p>
          <w:p>
            <w:pPr>
              <w:spacing w:after="0"/>
            </w:pPr>
            <w:r>
              <w:rPr>
                <w:rFonts w:ascii="Aptos" w:hAnsi="Aptos"/>
                <w:color w:val="1F2933"/>
                <w:sz w:val="16"/>
              </w:rPr>
              <w:t>An evidence-first internal sales engine designed to discover, research, qualify, prioritize, and nurture high-fit organizations—reducing dependence on a conventional human SDR team.</w:t>
            </w:r>
          </w:p>
        </w:tc>
        <w:tc>
          <w:tcPr>
            <w:tcW w:type="dxa" w:w="3485"/>
            <w:shd w:fill="F7F9FA"/>
            <w:tcMar>
              <w:top w:w="80" w:type="dxa"/>
              <w:start w:w="95" w:type="dxa"/>
              <w:bottom w:w="80" w:type="dxa"/>
              <w:end w:w="95" w:type="dxa"/>
            </w:tcMar>
            <w:vAlign w:val="top"/>
          </w:tcPr>
          <w:p>
            <w:pPr>
              <w:spacing w:after="40"/>
            </w:pPr>
            <w:r>
              <w:rPr>
                <w:rFonts w:ascii="Aptos" w:hAnsi="Aptos"/>
                <w:b/>
                <w:color w:val="2C5D7B"/>
                <w:sz w:val="18"/>
              </w:rPr>
              <w:t>Paid Diagnostics → Implementation</w:t>
            </w:r>
          </w:p>
          <w:p>
            <w:pPr>
              <w:spacing w:after="0"/>
            </w:pPr>
            <w:r>
              <w:rPr>
                <w:rFonts w:ascii="Aptos" w:hAnsi="Aptos"/>
                <w:color w:val="1F2933"/>
                <w:sz w:val="16"/>
              </w:rPr>
              <w:t>Low-friction assessments in municipal modernization, AI/data readiness, and operational technology create a path into strategy, implementation, and recurring advisory relationships.</w:t>
            </w:r>
          </w:p>
        </w:tc>
      </w:tr>
    </w:tbl>
    <w:p>
      <w:pPr>
        <w:pStyle w:val="Heading1"/>
      </w:pPr>
      <w:r>
        <w:rPr>
          <w:rFonts w:ascii="Aptos" w:hAnsi="Aptos"/>
          <w:i w:val="0"/>
        </w:rPr>
        <w:t>The business model</w:t>
      </w:r>
    </w:p>
    <w:p>
      <w:r>
        <w:rPr>
          <w:rFonts w:ascii="Aptos" w:hAnsi="Aptos"/>
          <w:i w:val="0"/>
        </w:rPr>
        <w:t>The initial model is intentionally lean: a small senior core, a vetted specialist network, AI-native internal operations, and disciplined hiring only after revenue supports permanent capacity. Clients buy 3gence to solve the problem; 3gence assembles the right combination of expertise and remains accountable for the outcome.</w:t>
      </w:r>
    </w:p>
    <w:p>
      <w:r>
        <w:br w:type="page"/>
      </w:r>
    </w:p>
    <w:p>
      <w:pPr>
        <w:pStyle w:val="Heading1"/>
      </w:pPr>
      <w:r>
        <w:rPr>
          <w:rFonts w:ascii="Aptos" w:hAnsi="Aptos"/>
          <w:i w:val="0"/>
        </w:rPr>
        <w:t>Why participate at the ground floor</w:t>
      </w:r>
    </w:p>
    <w:p>
      <w:r>
        <w:rPr>
          <w:rFonts w:ascii="Aptos" w:hAnsi="Aptos"/>
          <w:i w:val="0"/>
        </w:rPr>
        <w:t>This is not intended to be a conventional employment proposition. Many of the people 3gence wants to attract could consult independently. The firm therefore has to offer something more valuable than a title and a salary: institutional leverage.</w:t>
      </w:r>
    </w:p>
    <w:tbl>
      <w:tblPr>
        <w:tblW w:type="auto" w:w="0"/>
        <w:jc w:val="center"/>
        <w:tblLayout w:type="fixed"/>
        <w:tblLook w:firstColumn="1" w:firstRow="1" w:lastColumn="0" w:lastRow="0" w:noHBand="0" w:noVBand="1" w:val="04A0"/>
      </w:tblPr>
      <w:tblGrid>
        <w:gridCol w:w="2232"/>
        <w:gridCol w:w="7344"/>
      </w:tblGrid>
      <w:tr>
        <w:trPr>
          <w:cantSplit/>
        </w:trPr>
        <w:tc>
          <w:tcPr>
            <w:tcW w:type="dxa" w:w="5227"/>
            <w:shd w:fill="F7F9FA"/>
            <w:tcMar>
              <w:top w:w="55" w:type="dxa"/>
              <w:start w:w="70" w:type="dxa"/>
              <w:bottom w:w="55" w:type="dxa"/>
              <w:end w:w="70" w:type="dxa"/>
            </w:tcMar>
          </w:tcPr>
          <w:p>
            <w:r>
              <w:rPr>
                <w:rFonts w:ascii="Aptos" w:hAnsi="Aptos"/>
                <w:b/>
                <w:color w:val="2C5D7B"/>
                <w:sz w:val="17"/>
              </w:rPr>
              <w:t>Larger opportunity</w:t>
            </w:r>
          </w:p>
        </w:tc>
        <w:tc>
          <w:tcPr>
            <w:tcW w:type="dxa" w:w="5227"/>
            <w:shd w:fill="F7F9FA"/>
            <w:tcMar>
              <w:top w:w="55" w:type="dxa"/>
              <w:start w:w="70" w:type="dxa"/>
              <w:bottom w:w="55" w:type="dxa"/>
              <w:end w:w="70" w:type="dxa"/>
            </w:tcMar>
          </w:tcPr>
          <w:p>
            <w:r>
              <w:rPr>
                <w:rFonts w:ascii="Aptos" w:hAnsi="Aptos"/>
                <w:color w:val="1F2933"/>
                <w:sz w:val="17"/>
              </w:rPr>
              <w:t>Access to multidisciplinary engagements, clients, and problems that are difficult for a solo practitioner to win or execute alone.</w:t>
            </w:r>
          </w:p>
        </w:tc>
      </w:tr>
      <w:tr>
        <w:trPr>
          <w:cantSplit/>
        </w:trPr>
        <w:tc>
          <w:tcPr>
            <w:tcW w:type="dxa" w:w="5227"/>
            <w:tcMar>
              <w:top w:w="55" w:type="dxa"/>
              <w:start w:w="70" w:type="dxa"/>
              <w:bottom w:w="55" w:type="dxa"/>
              <w:end w:w="70" w:type="dxa"/>
            </w:tcMar>
          </w:tcPr>
          <w:p>
            <w:r>
              <w:rPr>
                <w:rFonts w:ascii="Aptos" w:hAnsi="Aptos"/>
                <w:b/>
                <w:color w:val="2C5D7B"/>
                <w:sz w:val="17"/>
              </w:rPr>
              <w:t>Shared infrastructure</w:t>
            </w:r>
          </w:p>
        </w:tc>
        <w:tc>
          <w:tcPr>
            <w:tcW w:type="dxa" w:w="5227"/>
            <w:tcMar>
              <w:top w:w="55" w:type="dxa"/>
              <w:start w:w="70" w:type="dxa"/>
              <w:bottom w:w="55" w:type="dxa"/>
              <w:end w:w="70" w:type="dxa"/>
            </w:tcMar>
          </w:tcPr>
          <w:p>
            <w:r>
              <w:rPr>
                <w:rFonts w:ascii="Aptos" w:hAnsi="Aptos"/>
                <w:color w:val="1F2933"/>
                <w:sz w:val="17"/>
              </w:rPr>
              <w:t>Prospecting, contracting, project management, research, methods, technology, administration, and knowledge systems built once and reused across the firm.</w:t>
            </w:r>
          </w:p>
        </w:tc>
      </w:tr>
      <w:tr>
        <w:trPr>
          <w:cantSplit/>
        </w:trPr>
        <w:tc>
          <w:tcPr>
            <w:tcW w:type="dxa" w:w="5227"/>
            <w:shd w:fill="F7F9FA"/>
            <w:tcMar>
              <w:top w:w="55" w:type="dxa"/>
              <w:start w:w="70" w:type="dxa"/>
              <w:bottom w:w="55" w:type="dxa"/>
              <w:end w:w="70" w:type="dxa"/>
            </w:tcMar>
          </w:tcPr>
          <w:p>
            <w:r>
              <w:rPr>
                <w:rFonts w:ascii="Aptos" w:hAnsi="Aptos"/>
                <w:b/>
                <w:color w:val="2C5D7B"/>
                <w:sz w:val="17"/>
              </w:rPr>
              <w:t>Professional platform</w:t>
            </w:r>
          </w:p>
        </w:tc>
        <w:tc>
          <w:tcPr>
            <w:tcW w:type="dxa" w:w="5227"/>
            <w:shd w:fill="F7F9FA"/>
            <w:tcMar>
              <w:top w:w="55" w:type="dxa"/>
              <w:start w:w="70" w:type="dxa"/>
              <w:bottom w:w="55" w:type="dxa"/>
              <w:end w:w="70" w:type="dxa"/>
            </w:tcMar>
          </w:tcPr>
          <w:p>
            <w:r>
              <w:rPr>
                <w:rFonts w:ascii="Aptos" w:hAnsi="Aptos"/>
                <w:color w:val="1F2933"/>
                <w:sz w:val="17"/>
              </w:rPr>
              <w:t>A serious institutional brand under which people can publish, speak, build practices, develop IP, and increase their own market value.</w:t>
            </w:r>
          </w:p>
        </w:tc>
      </w:tr>
      <w:tr>
        <w:trPr>
          <w:cantSplit/>
        </w:trPr>
        <w:tc>
          <w:tcPr>
            <w:tcW w:type="dxa" w:w="5227"/>
            <w:tcMar>
              <w:top w:w="55" w:type="dxa"/>
              <w:start w:w="70" w:type="dxa"/>
              <w:bottom w:w="55" w:type="dxa"/>
              <w:end w:w="70" w:type="dxa"/>
            </w:tcMar>
          </w:tcPr>
          <w:p>
            <w:r>
              <w:rPr>
                <w:rFonts w:ascii="Aptos" w:hAnsi="Aptos"/>
                <w:b/>
                <w:color w:val="2C5D7B"/>
                <w:sz w:val="17"/>
              </w:rPr>
              <w:t>Economic participation</w:t>
            </w:r>
          </w:p>
        </w:tc>
        <w:tc>
          <w:tcPr>
            <w:tcW w:type="dxa" w:w="5227"/>
            <w:tcMar>
              <w:top w:w="55" w:type="dxa"/>
              <w:start w:w="70" w:type="dxa"/>
              <w:bottom w:w="55" w:type="dxa"/>
              <w:end w:w="70" w:type="dxa"/>
            </w:tcMar>
          </w:tcPr>
          <w:p>
            <w:r>
              <w:rPr>
                <w:rFonts w:ascii="Aptos" w:hAnsi="Aptos"/>
                <w:color w:val="1F2933"/>
                <w:sz w:val="17"/>
              </w:rPr>
              <w:t>A model intended to reward origination, delivery, practice building, and institution building—with a path toward profit participation and, for the right contributors, ownership-level economics.</w:t>
            </w:r>
          </w:p>
        </w:tc>
      </w:tr>
      <w:tr>
        <w:trPr>
          <w:cantSplit/>
        </w:trPr>
        <w:tc>
          <w:tcPr>
            <w:tcW w:type="dxa" w:w="5227"/>
            <w:shd w:fill="F7F9FA"/>
            <w:tcMar>
              <w:top w:w="55" w:type="dxa"/>
              <w:start w:w="70" w:type="dxa"/>
              <w:bottom w:w="55" w:type="dxa"/>
              <w:end w:w="70" w:type="dxa"/>
            </w:tcMar>
          </w:tcPr>
          <w:p>
            <w:r>
              <w:rPr>
                <w:rFonts w:ascii="Aptos" w:hAnsi="Aptos"/>
                <w:b/>
                <w:color w:val="2C5D7B"/>
                <w:sz w:val="17"/>
              </w:rPr>
              <w:t>Autonomy with scale</w:t>
            </w:r>
          </w:p>
        </w:tc>
        <w:tc>
          <w:tcPr>
            <w:tcW w:type="dxa" w:w="5227"/>
            <w:shd w:fill="F7F9FA"/>
            <w:tcMar>
              <w:top w:w="55" w:type="dxa"/>
              <w:start w:w="70" w:type="dxa"/>
              <w:bottom w:w="55" w:type="dxa"/>
              <w:end w:w="70" w:type="dxa"/>
            </w:tcMar>
          </w:tcPr>
          <w:p>
            <w:r>
              <w:rPr>
                <w:rFonts w:ascii="Aptos" w:hAnsi="Aptos"/>
                <w:color w:val="1F2933"/>
                <w:sz w:val="17"/>
              </w:rPr>
              <w:t>The ability to retain professional independence while having complementary specialists, implementation resources, and a larger organization behind the work.</w:t>
            </w:r>
          </w:p>
        </w:tc>
      </w:tr>
    </w:tbl>
    <w:p>
      <w:pPr>
        <w:pStyle w:val="Heading1"/>
      </w:pPr>
      <w:r>
        <w:rPr>
          <w:rFonts w:ascii="Aptos" w:hAnsi="Aptos"/>
          <w:i w:val="0"/>
        </w:rPr>
        <w:t>Who we want early</w:t>
      </w:r>
    </w:p>
    <w:p>
      <w:r>
        <w:rPr>
          <w:rFonts w:ascii="Aptos" w:hAnsi="Aptos"/>
          <w:i w:val="0"/>
        </w:rPr>
        <w:t>We are looking for builders, not simply people waiting for assignments. Early participants should bring deep expertise in at least one area and be comfortable working across disciplines. The first strategic relationships are likely to include:</w:t>
      </w:r>
    </w:p>
    <w:tbl>
      <w:tblPr>
        <w:tblW w:type="auto" w:w="0"/>
        <w:jc w:val="center"/>
        <w:tblLook w:firstColumn="1" w:firstRow="1" w:lastColumn="0" w:lastRow="0" w:noHBand="0" w:noVBand="1" w:val="04A0"/>
      </w:tblPr>
      <w:tblGrid>
        <w:gridCol w:w="5227"/>
        <w:gridCol w:w="5227"/>
      </w:tblGrid>
      <w:tr>
        <w:trPr>
          <w:cantSplit/>
        </w:trPr>
        <w:tc>
          <w:tcPr>
            <w:tcW w:type="dxa" w:w="5227"/>
            <w:tcMar>
              <w:top w:w="40" w:type="dxa"/>
              <w:start w:w="60" w:type="dxa"/>
              <w:bottom w:w="40" w:type="dxa"/>
              <w:end w:w="60" w:type="dxa"/>
            </w:tcMar>
          </w:tcPr>
          <w:p>
            <w:pPr>
              <w:spacing w:after="0"/>
            </w:pPr>
            <w:r>
              <w:rPr>
                <w:rFonts w:ascii="Aptos" w:hAnsi="Aptos"/>
                <w:color w:val="1F2933"/>
                <w:sz w:val="17"/>
              </w:rPr>
              <w:t>• AI / Data Principal</w:t>
            </w:r>
          </w:p>
        </w:tc>
        <w:tc>
          <w:tcPr>
            <w:tcW w:type="dxa" w:w="5227"/>
            <w:tcMar>
              <w:top w:w="40" w:type="dxa"/>
              <w:start w:w="60" w:type="dxa"/>
              <w:bottom w:w="40" w:type="dxa"/>
              <w:end w:w="60" w:type="dxa"/>
            </w:tcMar>
          </w:tcPr>
          <w:p>
            <w:pPr>
              <w:spacing w:after="0"/>
            </w:pPr>
            <w:r>
              <w:rPr>
                <w:rFonts w:ascii="Aptos" w:hAnsi="Aptos"/>
                <w:color w:val="1F2933"/>
                <w:sz w:val="17"/>
              </w:rPr>
              <w:t>• Municipal / Economic Development Principal</w:t>
            </w:r>
          </w:p>
        </w:tc>
      </w:tr>
      <w:tr>
        <w:trPr>
          <w:cantSplit/>
        </w:trPr>
        <w:tc>
          <w:tcPr>
            <w:tcW w:type="dxa" w:w="5227"/>
            <w:tcMar>
              <w:top w:w="40" w:type="dxa"/>
              <w:start w:w="60" w:type="dxa"/>
              <w:bottom w:w="40" w:type="dxa"/>
              <w:end w:w="60" w:type="dxa"/>
            </w:tcMar>
          </w:tcPr>
          <w:p>
            <w:pPr>
              <w:spacing w:after="0"/>
            </w:pPr>
            <w:r>
              <w:rPr>
                <w:rFonts w:ascii="Aptos" w:hAnsi="Aptos"/>
                <w:color w:val="1F2933"/>
                <w:sz w:val="17"/>
              </w:rPr>
              <w:t>• Transformation / Turnaround Principal</w:t>
            </w:r>
          </w:p>
        </w:tc>
        <w:tc>
          <w:tcPr>
            <w:tcW w:type="dxa" w:w="5227"/>
            <w:tcMar>
              <w:top w:w="40" w:type="dxa"/>
              <w:start w:w="60" w:type="dxa"/>
              <w:bottom w:w="40" w:type="dxa"/>
              <w:end w:w="60" w:type="dxa"/>
            </w:tcMar>
          </w:tcPr>
          <w:p>
            <w:pPr>
              <w:spacing w:after="0"/>
            </w:pPr>
            <w:r>
              <w:rPr>
                <w:rFonts w:ascii="Aptos" w:hAnsi="Aptos"/>
                <w:color w:val="1F2933"/>
                <w:sz w:val="17"/>
              </w:rPr>
              <w:t>• Connected Systems / Infrastructure Specialist</w:t>
            </w:r>
          </w:p>
        </w:tc>
      </w:tr>
      <w:tr>
        <w:trPr>
          <w:cantSplit/>
        </w:trPr>
        <w:tc>
          <w:tcPr>
            <w:tcW w:type="dxa" w:w="5227"/>
            <w:tcMar>
              <w:top w:w="40" w:type="dxa"/>
              <w:start w:w="60" w:type="dxa"/>
              <w:bottom w:w="40" w:type="dxa"/>
              <w:end w:w="60" w:type="dxa"/>
            </w:tcMar>
          </w:tcPr>
          <w:p>
            <w:pPr>
              <w:spacing w:after="0"/>
            </w:pPr>
            <w:r>
              <w:rPr>
                <w:rFonts w:ascii="Aptos" w:hAnsi="Aptos"/>
                <w:color w:val="1F2933"/>
                <w:sz w:val="17"/>
              </w:rPr>
              <w:t>• Senior Data / Integration Architect</w:t>
            </w:r>
          </w:p>
        </w:tc>
        <w:tc>
          <w:tcPr>
            <w:tcW w:type="dxa" w:w="5227"/>
            <w:tcMar>
              <w:top w:w="40" w:type="dxa"/>
              <w:start w:w="60" w:type="dxa"/>
              <w:bottom w:w="40" w:type="dxa"/>
              <w:end w:w="60" w:type="dxa"/>
            </w:tcMar>
          </w:tcPr>
          <w:p>
            <w:pPr>
              <w:spacing w:after="0"/>
            </w:pPr>
            <w:r>
              <w:rPr>
                <w:rFonts w:ascii="Aptos" w:hAnsi="Aptos"/>
                <w:color w:val="1F2933"/>
                <w:sz w:val="17"/>
              </w:rPr>
              <w:t>• AI Implementation Specialist</w:t>
            </w:r>
          </w:p>
        </w:tc>
      </w:tr>
      <w:tr>
        <w:trPr>
          <w:cantSplit/>
        </w:trPr>
        <w:tc>
          <w:tcPr>
            <w:tcW w:type="dxa" w:w="5227"/>
            <w:tcMar>
              <w:top w:w="40" w:type="dxa"/>
              <w:start w:w="60" w:type="dxa"/>
              <w:bottom w:w="40" w:type="dxa"/>
              <w:end w:w="60" w:type="dxa"/>
            </w:tcMar>
          </w:tcPr>
          <w:p>
            <w:pPr>
              <w:spacing w:after="0"/>
            </w:pPr>
            <w:r>
              <w:rPr>
                <w:rFonts w:ascii="Aptos" w:hAnsi="Aptos"/>
                <w:color w:val="1F2933"/>
                <w:sz w:val="17"/>
              </w:rPr>
              <w:t>• Engagement / Program Leader</w:t>
            </w:r>
          </w:p>
        </w:tc>
        <w:tc>
          <w:tcPr>
            <w:tcW w:type="dxa" w:w="5227"/>
            <w:tcMar>
              <w:top w:w="40" w:type="dxa"/>
              <w:start w:w="60" w:type="dxa"/>
              <w:bottom w:w="40" w:type="dxa"/>
              <w:end w:w="60" w:type="dxa"/>
            </w:tcMar>
          </w:tcPr>
          <w:p>
            <w:pPr>
              <w:spacing w:after="0"/>
            </w:pPr>
            <w:r>
              <w:rPr>
                <w:rFonts w:ascii="Aptos" w:hAnsi="Aptos"/>
                <w:color w:val="1F2933"/>
                <w:sz w:val="17"/>
              </w:rPr>
              <w:t>• Economic / Research Analyst</w:t>
            </w:r>
          </w:p>
        </w:tc>
      </w:tr>
      <w:tr>
        <w:trPr>
          <w:cantSplit/>
        </w:trPr>
        <w:tc>
          <w:tcPr>
            <w:tcW w:type="dxa" w:w="5227"/>
            <w:tcMar>
              <w:top w:w="40" w:type="dxa"/>
              <w:start w:w="60" w:type="dxa"/>
              <w:bottom w:w="40" w:type="dxa"/>
              <w:end w:w="60" w:type="dxa"/>
            </w:tcMar>
          </w:tcPr>
          <w:p>
            <w:pPr>
              <w:spacing w:after="0"/>
            </w:pPr>
            <w:r>
              <w:rPr>
                <w:rFonts w:ascii="Aptos" w:hAnsi="Aptos"/>
                <w:color w:val="1F2933"/>
                <w:sz w:val="17"/>
              </w:rPr>
              <w:t>• Cloud / Platform Specialist</w:t>
            </w:r>
          </w:p>
        </w:tc>
        <w:tc>
          <w:tcPr>
            <w:tcW w:type="dxa" w:w="5227"/>
            <w:tcMar>
              <w:top w:w="40" w:type="dxa"/>
              <w:start w:w="60" w:type="dxa"/>
              <w:bottom w:w="40" w:type="dxa"/>
              <w:end w:w="60" w:type="dxa"/>
            </w:tcMar>
          </w:tcPr>
          <w:p>
            <w:pPr>
              <w:spacing w:after="0"/>
            </w:pPr>
            <w:r>
              <w:rPr>
                <w:rFonts w:ascii="Aptos" w:hAnsi="Aptos"/>
                <w:color w:val="1F2933"/>
                <w:sz w:val="17"/>
              </w:rPr>
              <w:t>• Business Development / Partnerships</w:t>
            </w:r>
          </w:p>
        </w:tc>
      </w:tr>
    </w:tbl>
    <w:p>
      <w:pPr>
        <w:pStyle w:val="Heading1"/>
      </w:pPr>
      <w:r>
        <w:rPr>
          <w:rFonts w:ascii="Aptos" w:hAnsi="Aptos"/>
          <w:i w:val="0"/>
        </w:rPr>
        <w:t>What ground-floor participation can mean</w:t>
      </w:r>
    </w:p>
    <w:p>
      <w:r>
        <w:rPr>
          <w:rFonts w:ascii="Aptos" w:hAnsi="Aptos"/>
          <w:i w:val="0"/>
        </w:rPr>
        <w:t>Not every relationship needs to begin the same way. Some people may start as senior affiliates on specific engagements. Some may enter on a principal track and help develop a practice. Others may begin as advisers, contractors, or implementation specialists and deepen their relationship as the company proves revenue and fit.</w:t>
      </w:r>
    </w:p>
    <w:p>
      <w:r>
        <w:rPr>
          <w:rFonts w:ascii="Aptos" w:hAnsi="Aptos"/>
          <w:i w:val="0"/>
        </w:rPr>
        <w:t>The important distinction is that early principal-level participants can help shape decisions that are largely fixed inside mature firms: how practices are structured, how client ownership works, how AI is used internally, how specialists are assembled, how intellectual property is developed, how compensation rewards contribution, and what the culture values.</w:t>
      </w:r>
    </w:p>
    <w:p>
      <w:pPr>
        <w:pStyle w:val="Heading1"/>
      </w:pPr>
      <w:r>
        <w:rPr>
          <w:rFonts w:ascii="Aptos" w:hAnsi="Aptos"/>
          <w:i w:val="0"/>
        </w:rPr>
        <w:t>The long-term objective</w:t>
      </w:r>
    </w:p>
    <w:p>
      <w:r>
        <w:rPr>
          <w:rFonts w:ascii="Aptos" w:hAnsi="Aptos"/>
          <w:i w:val="0"/>
        </w:rPr>
        <w:t>3gence is intended to become valuable as an institution rather than merely as the professional identity of its founder. Over time, the firm should accumulate client relationships, proprietary methods, software, training assets, research, diagnostic frameworks, reference architectures, specialist relationships, and a reputation for solving problems that cross traditional boundaries.</w:t>
      </w:r>
    </w:p>
    <w:tbl>
      <w:tblPr>
        <w:tblW w:type="auto" w:w="0"/>
        <w:jc w:val="center"/>
        <w:tblLook w:firstColumn="1" w:firstRow="1" w:lastColumn="0" w:lastRow="0" w:noHBand="0" w:noVBand="1" w:val="04A0"/>
      </w:tblPr>
      <w:tblGrid>
        <w:gridCol w:w="10454"/>
      </w:tblGrid>
      <w:tr>
        <w:trPr>
          <w:cantSplit/>
        </w:trPr>
        <w:tc>
          <w:tcPr>
            <w:tcW w:type="dxa" w:w="10454"/>
            <w:shd w:fill="18324A"/>
            <w:tcMar>
              <w:top w:w="95" w:type="dxa"/>
              <w:start w:w="150" w:type="dxa"/>
              <w:bottom w:w="95" w:type="dxa"/>
              <w:end w:w="150" w:type="dxa"/>
            </w:tcMar>
          </w:tcPr>
          <w:p>
            <w:pPr>
              <w:spacing w:after="40"/>
            </w:pPr>
            <w:r>
              <w:rPr>
                <w:rFonts w:ascii="Aptos" w:hAnsi="Aptos"/>
                <w:b/>
                <w:color w:val="FFFFFF"/>
                <w:sz w:val="20"/>
              </w:rPr>
              <w:t>The founding proposition</w:t>
            </w:r>
          </w:p>
          <w:p>
            <w:pPr>
              <w:spacing w:after="0"/>
            </w:pPr>
            <w:r>
              <w:rPr>
                <w:rFonts w:ascii="Aptos" w:hAnsi="Aptos"/>
                <w:color w:val="FFFFFF"/>
                <w:sz w:val="18"/>
              </w:rPr>
              <w:t>If you are capable of succeeding independently but believe your expertise could become more valuable inside a serious multidisciplinary institution, 3gence is being built to make that possible. The first conversation is not about filling a job description. It is about whether there is something worth building together.</w:t>
            </w:r>
          </w:p>
        </w:tc>
      </w:tr>
    </w:tbl>
    <w:p>
      <w:pPr>
        <w:spacing w:before="80" w:after="0"/>
        <w:jc w:val="center"/>
      </w:pPr>
      <w:r>
        <w:rPr>
          <w:rFonts w:ascii="Aptos" w:hAnsi="Aptos"/>
          <w:b/>
          <w:color w:val="B58B3B"/>
          <w:sz w:val="16"/>
        </w:rPr>
        <w:t>3gence  •  Information → Insight → Understanding → Action</w:t>
      </w:r>
    </w:p>
    <w:sectPr w:rsidR="00FC693F" w:rsidRPr="0006063C" w:rsidSect="00034616">
      <w:headerReference w:type="default" r:id="rId9"/>
      <w:footerReference w:type="default" r:id="rId10"/>
      <w:pgSz w:w="12240" w:h="15840"/>
      <w:pgMar w:top="691" w:right="893" w:bottom="66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36270"/>
        <w:sz w:val="14"/>
      </w:rPr>
      <w:t>Confidential discussion draft  |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536270"/>
        <w:sz w:val="14"/>
      </w:rPr>
      <w:t>3GENCE  |  FOUNDING PARTICIPATION BRIEF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Display" w:hAnsi="Aptos Display"/>
      <w:b/>
      <w:bCs/>
      <w:color w:val="18324A"/>
      <w:sz w:val="27"/>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ascii="Aptos Display" w:hAnsi="Aptos Display"/>
      <w:b/>
      <w:bCs/>
      <w:color w:val="2C5D7B"/>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ascii="Aptos Display" w:hAnsi="Aptos Display"/>
      <w:b/>
      <w:color w:val="18324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3gence Founding Participation Brief</dc:title>
  <dc:subject>Ground-floor participation and founding-team recruitment overview</dc:subject>
  <dc:creator>3gence</dc:creator>
  <cp:keywords/>
  <dc:description>Confidential discussion draft</dc:description>
  <cp:lastModifiedBy/>
  <cp:revision>1</cp:revision>
  <dcterms:created xsi:type="dcterms:W3CDTF">2013-12-23T23:15:00Z</dcterms:created>
  <dcterms:modified xsi:type="dcterms:W3CDTF">2013-12-23T23:15:00Z</dcterms:modified>
  <cp:category/>
</cp:coreProperties>
</file>